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C4" w:rsidRDefault="00DF6D17">
      <w:pPr>
        <w:rPr>
          <w:rFonts w:hint="cs"/>
          <w:rtl/>
        </w:rPr>
      </w:pPr>
      <w:r>
        <w:rPr>
          <w:rFonts w:ascii="Helvetica" w:hAnsi="Helvetica"/>
          <w:color w:val="000000"/>
          <w:sz w:val="37"/>
          <w:szCs w:val="37"/>
          <w:shd w:val="clear" w:color="auto" w:fill="FFFFFF"/>
          <w:rtl/>
        </w:rPr>
        <w:t>חוק סדר הדין הפלילי [נוסח משולב], תשמ"ב-1982</w:t>
      </w:r>
    </w:p>
    <w:p w:rsidR="00DF6D17" w:rsidRDefault="00DF6D17">
      <w:pPr>
        <w:rPr>
          <w:rFonts w:hint="cs"/>
          <w:rtl/>
        </w:rPr>
      </w:pPr>
    </w:p>
    <w:p w:rsidR="00DF6D17" w:rsidRDefault="00DF6D17">
      <w:pPr>
        <w:rPr>
          <w:rFonts w:hint="cs"/>
          <w:rtl/>
        </w:rPr>
      </w:pPr>
    </w:p>
    <w:p w:rsidR="00DF6D17" w:rsidRPr="00C22C1E" w:rsidRDefault="00DF6D17" w:rsidP="00DF6D17">
      <w:pPr>
        <w:shd w:val="clear" w:color="auto" w:fill="FFFFFF"/>
        <w:spacing w:before="375" w:after="150" w:line="324" w:lineRule="atLeast"/>
        <w:outlineLvl w:val="2"/>
        <w:rPr>
          <w:rFonts w:ascii="Helvetica" w:eastAsia="Times New Roman" w:hAnsi="Helvetica" w:cs="Times New Roman" w:hint="cs"/>
          <w:color w:val="35705A"/>
          <w:sz w:val="32"/>
          <w:szCs w:val="32"/>
          <w:rtl/>
        </w:rPr>
      </w:pPr>
      <w:r w:rsidRPr="00DF6D17">
        <w:rPr>
          <w:rFonts w:ascii="Helvetica" w:eastAsia="Times New Roman" w:hAnsi="Helvetica" w:cs="Times New Roman"/>
          <w:color w:val="35705A"/>
          <w:sz w:val="32"/>
          <w:szCs w:val="32"/>
          <w:rtl/>
        </w:rPr>
        <w:t>מתרגם לנאש</w:t>
      </w:r>
      <w:r w:rsidRPr="00C22C1E">
        <w:rPr>
          <w:rFonts w:ascii="Helvetica" w:eastAsia="Times New Roman" w:hAnsi="Helvetica" w:cs="Times New Roman" w:hint="cs"/>
          <w:color w:val="35705A"/>
          <w:sz w:val="32"/>
          <w:szCs w:val="32"/>
          <w:rtl/>
        </w:rPr>
        <w:t>ם</w:t>
      </w:r>
    </w:p>
    <w:p w:rsidR="00DF6D17" w:rsidRPr="00DF6D17" w:rsidRDefault="00DF6D17" w:rsidP="00DF6D17">
      <w:pPr>
        <w:shd w:val="clear" w:color="auto" w:fill="FFFFFF"/>
        <w:spacing w:before="375" w:after="150" w:line="324" w:lineRule="atLeast"/>
        <w:outlineLvl w:val="2"/>
        <w:rPr>
          <w:rFonts w:ascii="Helvetica" w:eastAsia="Times New Roman" w:hAnsi="Helvetica" w:cs="Times New Roman"/>
          <w:color w:val="35705A"/>
          <w:sz w:val="28"/>
          <w:szCs w:val="28"/>
          <w:rtl/>
        </w:rPr>
      </w:pPr>
      <w:r w:rsidRPr="00C22C1E">
        <w:rPr>
          <w:rFonts w:ascii="Helvetica" w:eastAsia="Times New Roman" w:hAnsi="Helvetica" w:cs="Times New Roman"/>
          <w:color w:val="333333"/>
          <w:sz w:val="28"/>
          <w:szCs w:val="28"/>
          <w:shd w:val="clear" w:color="auto" w:fill="FFFFFF"/>
        </w:rPr>
        <w:t>140</w:t>
      </w:r>
      <w:r w:rsidRPr="00C22C1E">
        <w:rPr>
          <w:rFonts w:ascii="Helvetica" w:eastAsia="Times New Roman" w:hAnsi="Helvetica" w:cs="Times New Roman" w:hint="cs"/>
          <w:color w:val="333333"/>
          <w:sz w:val="28"/>
          <w:szCs w:val="28"/>
          <w:shd w:val="clear" w:color="auto" w:fill="FFFFFF"/>
          <w:rtl/>
        </w:rPr>
        <w:t xml:space="preserve">. </w:t>
      </w:r>
      <w:r w:rsidRPr="00DF6D17">
        <w:rPr>
          <w:rFonts w:ascii="Helvetica" w:eastAsia="Times New Roman" w:hAnsi="Helvetica" w:cs="Times New Roman"/>
          <w:color w:val="333333"/>
          <w:sz w:val="28"/>
          <w:szCs w:val="28"/>
          <w:shd w:val="clear" w:color="auto" w:fill="FFFFFF"/>
          <w:rtl/>
        </w:rPr>
        <w:t>הוברר לבית המשפט שהנאשם אינו יודע עברית, ימנה לו מתרגם או יתרגם לו בעצמו</w:t>
      </w:r>
      <w:r w:rsidRPr="00DF6D17">
        <w:rPr>
          <w:rFonts w:ascii="Helvetica" w:eastAsia="Times New Roman" w:hAnsi="Helvetica" w:cs="Times New Roman"/>
          <w:color w:val="333333"/>
          <w:sz w:val="28"/>
          <w:szCs w:val="28"/>
          <w:shd w:val="clear" w:color="auto" w:fill="FFFFFF"/>
        </w:rPr>
        <w:t>.</w:t>
      </w:r>
    </w:p>
    <w:p w:rsidR="00DF6D17" w:rsidRPr="00DF6D17" w:rsidRDefault="00DF6D17" w:rsidP="00DF6D17">
      <w:pPr>
        <w:shd w:val="clear" w:color="auto" w:fill="FFFFFF"/>
        <w:spacing w:before="150" w:after="225" w:line="243" w:lineRule="atLeast"/>
        <w:rPr>
          <w:rFonts w:ascii="Helvetica" w:eastAsia="Times New Roman" w:hAnsi="Helvetica" w:cs="Times New Roman"/>
          <w:color w:val="333333"/>
          <w:sz w:val="18"/>
          <w:szCs w:val="18"/>
        </w:rPr>
      </w:pPr>
      <w:r w:rsidRPr="00DF6D17">
        <w:rPr>
          <w:rFonts w:ascii="Helvetica" w:eastAsia="Times New Roman" w:hAnsi="Helvetica" w:cs="Times New Roman"/>
          <w:color w:val="333333"/>
          <w:sz w:val="18"/>
          <w:szCs w:val="18"/>
        </w:rPr>
        <w:t> </w:t>
      </w:r>
    </w:p>
    <w:p w:rsidR="00DF6D17" w:rsidRPr="00DF6D17" w:rsidRDefault="00DF6D17" w:rsidP="00DF6D17">
      <w:pPr>
        <w:shd w:val="clear" w:color="auto" w:fill="FFFFFF"/>
        <w:spacing w:before="375" w:after="150" w:line="324" w:lineRule="atLeast"/>
        <w:outlineLvl w:val="2"/>
        <w:rPr>
          <w:rFonts w:ascii="Helvetica" w:eastAsia="Times New Roman" w:hAnsi="Helvetica" w:cs="Times New Roman"/>
          <w:color w:val="35705A"/>
          <w:sz w:val="32"/>
          <w:szCs w:val="32"/>
        </w:rPr>
      </w:pPr>
      <w:bookmarkStart w:id="0" w:name="ראיה_שלא_בעברית"/>
      <w:bookmarkEnd w:id="0"/>
      <w:r w:rsidRPr="00DF6D17">
        <w:rPr>
          <w:rFonts w:ascii="Helvetica" w:eastAsia="Times New Roman" w:hAnsi="Helvetica" w:cs="Times New Roman"/>
          <w:color w:val="35705A"/>
          <w:sz w:val="32"/>
          <w:szCs w:val="32"/>
          <w:rtl/>
        </w:rPr>
        <w:t>ראיה שלא בעברית</w:t>
      </w:r>
    </w:p>
    <w:p w:rsidR="00DF6D17" w:rsidRPr="00DF6D17" w:rsidRDefault="00DF6D17" w:rsidP="00DF6D17">
      <w:pPr>
        <w:spacing w:after="0" w:line="240" w:lineRule="auto"/>
        <w:rPr>
          <w:rFonts w:ascii="Times New Roman" w:eastAsia="Times New Roman" w:hAnsi="Times New Roman" w:cs="Times New Roman"/>
          <w:sz w:val="28"/>
          <w:szCs w:val="28"/>
          <w:rtl/>
        </w:rPr>
      </w:pPr>
      <w:r w:rsidRPr="00C22C1E">
        <w:rPr>
          <w:rFonts w:ascii="Helvetica" w:eastAsia="Times New Roman" w:hAnsi="Helvetica" w:cs="Times New Roman" w:hint="cs"/>
          <w:color w:val="333333"/>
          <w:sz w:val="28"/>
          <w:szCs w:val="28"/>
          <w:shd w:val="clear" w:color="auto" w:fill="FFFFFF"/>
          <w:rtl/>
        </w:rPr>
        <w:t xml:space="preserve">141. </w:t>
      </w:r>
      <w:r w:rsidRPr="00DF6D17">
        <w:rPr>
          <w:rFonts w:ascii="Helvetica" w:eastAsia="Times New Roman" w:hAnsi="Helvetica" w:cs="Times New Roman"/>
          <w:color w:val="333333"/>
          <w:sz w:val="28"/>
          <w:szCs w:val="28"/>
          <w:shd w:val="clear" w:color="auto" w:fill="FFFFFF"/>
          <w:rtl/>
        </w:rPr>
        <w:t>ראיה הנמסרת ברשות בית המשפט לא בעברית, או לא בלשון אחרת השגורה בפי בית המשפט ובעלי הדין, תתורגם בידי מתרגם, ועדות שנמסרה כאמור תירשם בפרוטוקול תוך תרגומה לעברית, אם לא הורה בית המשפט הוראה אחרת; רישום התרגום בפרוטוקול ישמש ראיה לכאורה לדברים שתורגמו</w:t>
      </w:r>
      <w:r w:rsidRPr="00DF6D17">
        <w:rPr>
          <w:rFonts w:ascii="Helvetica" w:eastAsia="Times New Roman" w:hAnsi="Helvetica" w:cs="Times New Roman"/>
          <w:color w:val="333333"/>
          <w:sz w:val="28"/>
          <w:szCs w:val="28"/>
          <w:shd w:val="clear" w:color="auto" w:fill="FFFFFF"/>
        </w:rPr>
        <w:t>.</w:t>
      </w:r>
    </w:p>
    <w:p w:rsidR="00DF6D17" w:rsidRPr="00DF6D17" w:rsidRDefault="00DF6D17" w:rsidP="00DF6D17">
      <w:pPr>
        <w:shd w:val="clear" w:color="auto" w:fill="FFFFFF"/>
        <w:spacing w:before="150" w:after="225" w:line="243" w:lineRule="atLeast"/>
        <w:rPr>
          <w:rFonts w:ascii="Helvetica" w:eastAsia="Times New Roman" w:hAnsi="Helvetica" w:cs="Times New Roman"/>
          <w:color w:val="333333"/>
          <w:sz w:val="18"/>
          <w:szCs w:val="18"/>
        </w:rPr>
      </w:pPr>
      <w:r w:rsidRPr="00DF6D17">
        <w:rPr>
          <w:rFonts w:ascii="Helvetica" w:eastAsia="Times New Roman" w:hAnsi="Helvetica" w:cs="Times New Roman"/>
          <w:color w:val="333333"/>
          <w:sz w:val="18"/>
          <w:szCs w:val="18"/>
        </w:rPr>
        <w:t> </w:t>
      </w:r>
    </w:p>
    <w:p w:rsidR="00DF6D17" w:rsidRPr="00DF6D17" w:rsidRDefault="00DF6D17" w:rsidP="00DF6D17">
      <w:pPr>
        <w:shd w:val="clear" w:color="auto" w:fill="FFFFFF"/>
        <w:spacing w:before="375" w:after="150" w:line="324" w:lineRule="atLeast"/>
        <w:outlineLvl w:val="2"/>
        <w:rPr>
          <w:rFonts w:ascii="Helvetica" w:eastAsia="Times New Roman" w:hAnsi="Helvetica" w:cs="Times New Roman"/>
          <w:color w:val="35705A"/>
          <w:sz w:val="32"/>
          <w:szCs w:val="32"/>
        </w:rPr>
      </w:pPr>
      <w:bookmarkStart w:id="1" w:name="שכרו_של_מתרגם"/>
      <w:bookmarkEnd w:id="1"/>
      <w:r w:rsidRPr="00DF6D17">
        <w:rPr>
          <w:rFonts w:ascii="Helvetica" w:eastAsia="Times New Roman" w:hAnsi="Helvetica" w:cs="Times New Roman"/>
          <w:color w:val="35705A"/>
          <w:sz w:val="32"/>
          <w:szCs w:val="32"/>
          <w:rtl/>
        </w:rPr>
        <w:t>שכרו של מתרגם</w:t>
      </w:r>
    </w:p>
    <w:p w:rsidR="00DF6D17" w:rsidRPr="00C22C1E" w:rsidRDefault="00DF6D17" w:rsidP="00DF6D17">
      <w:pPr>
        <w:rPr>
          <w:rFonts w:hint="cs"/>
          <w:sz w:val="28"/>
          <w:szCs w:val="28"/>
          <w:rtl/>
        </w:rPr>
      </w:pPr>
      <w:r w:rsidRPr="00C22C1E">
        <w:rPr>
          <w:rFonts w:ascii="Helvetica" w:eastAsia="Times New Roman" w:hAnsi="Helvetica" w:cs="Times New Roman" w:hint="cs"/>
          <w:color w:val="333333"/>
          <w:sz w:val="28"/>
          <w:szCs w:val="28"/>
          <w:shd w:val="clear" w:color="auto" w:fill="FFFFFF"/>
          <w:rtl/>
        </w:rPr>
        <w:t xml:space="preserve">142. </w:t>
      </w:r>
      <w:r w:rsidRPr="00C22C1E">
        <w:rPr>
          <w:rFonts w:ascii="Helvetica" w:eastAsia="Times New Roman" w:hAnsi="Helvetica" w:cs="Times New Roman"/>
          <w:color w:val="333333"/>
          <w:sz w:val="28"/>
          <w:szCs w:val="28"/>
          <w:shd w:val="clear" w:color="auto" w:fill="FFFFFF"/>
          <w:rtl/>
        </w:rPr>
        <w:t>שכרו של מתרגם ישולם מאוצר המדינה, אם לא הורה בית המשפט הוראה אחרת</w:t>
      </w:r>
      <w:r w:rsidRPr="00C22C1E">
        <w:rPr>
          <w:rFonts w:ascii="Helvetica" w:eastAsia="Times New Roman" w:hAnsi="Helvetica" w:cs="Times New Roman"/>
          <w:color w:val="333333"/>
          <w:sz w:val="28"/>
          <w:szCs w:val="28"/>
          <w:shd w:val="clear" w:color="auto" w:fill="FFFFFF"/>
        </w:rPr>
        <w:t>.</w:t>
      </w:r>
    </w:p>
    <w:p w:rsidR="00C22C1E" w:rsidRDefault="00C22C1E" w:rsidP="00DF6D17">
      <w:pPr>
        <w:rPr>
          <w:rFonts w:hint="cs"/>
          <w:rtl/>
        </w:rPr>
      </w:pPr>
    </w:p>
    <w:p w:rsidR="00C22C1E" w:rsidRDefault="00C22C1E" w:rsidP="00DF6D17">
      <w:pPr>
        <w:rPr>
          <w:rFonts w:hint="cs"/>
          <w:rtl/>
        </w:rPr>
      </w:pPr>
      <w:r>
        <w:rPr>
          <w:rFonts w:hint="cs"/>
          <w:rtl/>
        </w:rPr>
        <w:t xml:space="preserve">לנוסח החוק המלא: </w:t>
      </w:r>
      <w:hyperlink r:id="rId4" w:history="1">
        <w:r w:rsidRPr="00FA1035">
          <w:rPr>
            <w:rStyle w:val="Hyperlink"/>
          </w:rPr>
          <w:t>http://nolegalfrontiers.org/israeli-domestic-legislation/criminal-procedure/criminal01#</w:t>
        </w:r>
        <w:proofErr w:type="spellStart"/>
        <w:r w:rsidRPr="00FA1035">
          <w:rPr>
            <w:rStyle w:val="Hyperlink"/>
            <w:rFonts w:cs="Arial" w:hint="cs"/>
            <w:rtl/>
          </w:rPr>
          <w:t>מתרגם</w:t>
        </w:r>
        <w:r w:rsidRPr="00FA1035">
          <w:rPr>
            <w:rStyle w:val="Hyperlink"/>
            <w:rFonts w:cs="Arial"/>
            <w:rtl/>
          </w:rPr>
          <w:t>_</w:t>
        </w:r>
        <w:r w:rsidRPr="00FA1035">
          <w:rPr>
            <w:rStyle w:val="Hyperlink"/>
            <w:rFonts w:cs="Arial" w:hint="cs"/>
            <w:rtl/>
          </w:rPr>
          <w:t>לנאשם</w:t>
        </w:r>
        <w:proofErr w:type="spellEnd"/>
      </w:hyperlink>
      <w:r>
        <w:rPr>
          <w:rFonts w:cs="Arial" w:hint="cs"/>
          <w:rtl/>
        </w:rPr>
        <w:t xml:space="preserve"> (ביקור אחרון בפברואר 2014)</w:t>
      </w:r>
    </w:p>
    <w:p w:rsidR="00C22C1E" w:rsidRDefault="00C22C1E" w:rsidP="00DF6D17">
      <w:pPr>
        <w:rPr>
          <w:rFonts w:hint="cs"/>
        </w:rPr>
      </w:pPr>
    </w:p>
    <w:sectPr w:rsidR="00C22C1E" w:rsidSect="00242E8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6D17"/>
    <w:rsid w:val="00242E8E"/>
    <w:rsid w:val="00C22C1E"/>
    <w:rsid w:val="00DE40C4"/>
    <w:rsid w:val="00DF6D1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C4"/>
    <w:pPr>
      <w:bidi/>
    </w:pPr>
  </w:style>
  <w:style w:type="paragraph" w:styleId="3">
    <w:name w:val="heading 3"/>
    <w:basedOn w:val="a"/>
    <w:link w:val="30"/>
    <w:uiPriority w:val="9"/>
    <w:qFormat/>
    <w:rsid w:val="00DF6D1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DF6D17"/>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DF6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22C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12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olegalfrontiers.org/israeli-domestic-legislation/criminal-procedure/criminal01#&#1502;&#1514;&#1512;&#1490;&#1501;_&#1500;&#1504;&#1488;&#1513;&#15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634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koki1</dc:creator>
  <cp:lastModifiedBy>koki1</cp:lastModifiedBy>
  <cp:revision>2</cp:revision>
  <dcterms:created xsi:type="dcterms:W3CDTF">2014-02-18T08:07:00Z</dcterms:created>
  <dcterms:modified xsi:type="dcterms:W3CDTF">2014-02-18T08:09:00Z</dcterms:modified>
</cp:coreProperties>
</file>